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CE181E"/>
          <w:sz w:val="26"/>
          <w:szCs w:val="26"/>
          <w:u w:val="none"/>
        </w:rPr>
      </w:pPr>
      <w:r>
        <w:rPr>
          <w:b/>
          <w:color w:val="CE181E"/>
          <w:sz w:val="26"/>
          <w:szCs w:val="26"/>
          <w:u w:val="none"/>
        </w:rPr>
        <w:t>Formulář pro odstoupení od kupní smlouvy kupujícím spotřebitelem</w:t>
      </w:r>
    </w:p>
    <w:p>
      <w:pPr>
        <w:pStyle w:val="Normal"/>
        <w:rPr/>
      </w:pP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(Vyplňte tento formulář a odešlete jej zpět pouze v případě, že chcete odstoupit od smlouvy. Formulář je třeba vytisknout, vyplnit, podepsat a zaslat naskenovaný na níže uvedenou e-mailovou adresu, případně jej vložit do zásilky s vráceným zbožím).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Prodávající: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Birida s.r.o.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Komenského 104, 512 63 Rovensko p.Tr.</w:t>
      </w:r>
    </w:p>
    <w:p>
      <w:pPr>
        <w:pStyle w:val="Normal"/>
        <w:rPr/>
      </w:pPr>
      <w:r>
        <w:rPr>
          <w:sz w:val="20"/>
          <w:szCs w:val="20"/>
        </w:rPr>
        <w:t>IČ: 056 59 566, DIČ:CZ05659566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zapsané v obchodním rejstříku vedeném Krajským soudem v Hradci Králové, oddíl C, vložka 38536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2">
        <w:r>
          <w:rPr>
            <w:rStyle w:val="Internetovodkaz"/>
            <w:sz w:val="20"/>
            <w:szCs w:val="20"/>
          </w:rPr>
          <w:t>info@birida.cz</w:t>
        </w:r>
      </w:hyperlink>
    </w:p>
    <w:p>
      <w:pPr>
        <w:pStyle w:val="Normal"/>
        <w:rPr/>
      </w:pPr>
      <w:r>
        <w:rPr>
          <w:sz w:val="20"/>
          <w:szCs w:val="20"/>
        </w:rPr>
        <w:t xml:space="preserve">tel.: +420 731 </w:t>
      </w:r>
      <w:r>
        <w:rPr>
          <w:rFonts w:eastAsia="Times New Roman" w:cs="Arial"/>
          <w:color w:val="auto"/>
          <w:sz w:val="20"/>
          <w:szCs w:val="20"/>
          <w:lang w:val="cs-CZ" w:eastAsia="zh-CN" w:bidi="ar-SA"/>
        </w:rPr>
        <w:t>607 883</w:t>
      </w:r>
      <w:r>
        <w:rPr>
          <w:sz w:val="20"/>
          <w:szCs w:val="20"/>
        </w:rPr>
        <w:t>, 774 727 819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Oznamuji, že tímto odstupuji od smlouvy o nákupu tohoto zboží: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tbl>
      <w:tblPr>
        <w:tblW w:w="88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5384"/>
      </w:tblGrid>
      <w:tr>
        <w:trPr>
          <w:trHeight w:val="420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Datum objednání zboží: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426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Datum obdržení zboží: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544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Číslo objednávky nebo </w:t>
            </w:r>
          </w:p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faktury vydané prodávajícím: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Číslo účtu, na který mají být </w:t>
            </w:r>
          </w:p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navráceny peněžní prostředky: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Jméno a příjmení kupujícího </w:t>
            </w:r>
          </w:p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spotřebitele: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1295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Přesná adresa kupujícího </w:t>
            </w:r>
          </w:p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spotřebitele: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E-mail kupujícího spotřebitele: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Telefon kupujícího spotřebitele: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Datum odstoupení od smlouvy: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1329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Podpis kupujícího spotřebitele: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br/>
        <w:b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/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Tlotextu"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>
      <w:b w:val="false"/>
    </w:rPr>
  </w:style>
  <w:style w:type="character" w:styleId="WW8Num2z2">
    <w:name w:val="WW8Num2z2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b w:val="false"/>
    </w:rPr>
  </w:style>
  <w:style w:type="character" w:styleId="WW8Num3z2">
    <w:name w:val="WW8Num3z2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andardnpsmoodstavce">
    <w:name w:val="Standardní písmo odstavce"/>
    <w:qFormat/>
    <w:rPr/>
  </w:style>
  <w:style w:type="character" w:styleId="Odkaznakoment">
    <w:name w:val="Odkaz na komentář"/>
    <w:qFormat/>
    <w:rPr>
      <w:sz w:val="16"/>
      <w:szCs w:val="16"/>
    </w:rPr>
  </w:style>
  <w:style w:type="character" w:styleId="CharChar">
    <w:name w:val=" Char Char"/>
    <w:qFormat/>
    <w:rPr>
      <w:rFonts w:ascii="Garamond" w:hAnsi="Garamond" w:cs="Garamond"/>
      <w:lang w:val="cs-CZ" w:bidi="ar-SA"/>
    </w:rPr>
  </w:style>
  <w:style w:type="character" w:styleId="Uroven2Char">
    <w:name w:val="uroven_2 Char"/>
    <w:qFormat/>
    <w:rPr>
      <w:rFonts w:ascii="Garamond" w:hAnsi="Garamond" w:cs="Garamond"/>
      <w:sz w:val="24"/>
      <w:szCs w:val="24"/>
      <w:lang w:val="cs-CZ" w:bidi="ar-SA"/>
    </w:rPr>
  </w:style>
  <w:style w:type="character" w:styleId="Internetovodkaz">
    <w:name w:val="Internetový odkaz"/>
    <w:rPr>
      <w:color w:val="0000FF"/>
      <w:u w:val="single"/>
    </w:rPr>
  </w:style>
  <w:style w:type="character" w:styleId="Odst1">
    <w:name w:val="odst1"/>
    <w:qFormat/>
    <w:rPr>
      <w:b/>
      <w:bCs/>
      <w:color w:val="1060B8"/>
    </w:rPr>
  </w:style>
  <w:style w:type="character" w:styleId="Silnzdraznn">
    <w:name w:val="Silné zdůraznění"/>
    <w:qFormat/>
    <w:rPr>
      <w:b/>
      <w:bCs/>
    </w:rPr>
  </w:style>
  <w:style w:type="character" w:styleId="Zdraznn">
    <w:name w:val="Zdůraznění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lovanseznam">
    <w:name w:val="Číslovaný seznam"/>
    <w:basedOn w:val="Normal"/>
    <w:qFormat/>
    <w:pPr>
      <w:numPr>
        <w:ilvl w:val="0"/>
        <w:numId w:val="2"/>
      </w:numPr>
    </w:pPr>
    <w:rPr/>
  </w:style>
  <w:style w:type="paragraph" w:styleId="Prvniuroven">
    <w:name w:val="Prvni_uroven"/>
    <w:basedOn w:val="Slovanseznam"/>
    <w:next w:val="Uroven2"/>
    <w:qFormat/>
    <w:pPr>
      <w:keepNext w:val="true"/>
      <w:keepLines/>
      <w:widowControl w:val="false"/>
      <w:tabs>
        <w:tab w:val="clear" w:pos="708"/>
        <w:tab w:val="left" w:pos="397" w:leader="none"/>
      </w:tabs>
      <w:spacing w:lineRule="exact" w:line="280" w:before="480" w:after="240"/>
      <w:ind w:left="397" w:right="0" w:hanging="397"/>
      <w:jc w:val="both"/>
    </w:pPr>
    <w:rPr>
      <w:rFonts w:ascii="Garamond" w:hAnsi="Garamond" w:cs="Garamond"/>
      <w:b/>
      <w:caps/>
      <w:lang w:val="cs-CZ"/>
    </w:rPr>
  </w:style>
  <w:style w:type="paragraph" w:styleId="Textkomente">
    <w:name w:val="Text komentáře"/>
    <w:basedOn w:val="Normal"/>
    <w:qFormat/>
    <w:pPr>
      <w:widowControl w:val="false"/>
      <w:suppressAutoHyphens w:val="true"/>
      <w:spacing w:lineRule="exact" w:line="280"/>
      <w:jc w:val="both"/>
    </w:pPr>
    <w:rPr>
      <w:rFonts w:ascii="Garamond" w:hAnsi="Garamond" w:cs="Garamond"/>
      <w:sz w:val="20"/>
      <w:szCs w:val="20"/>
    </w:rPr>
  </w:style>
  <w:style w:type="paragraph" w:styleId="Pokraovnseznamu2">
    <w:name w:val="List Continue 2"/>
    <w:basedOn w:val="Normal"/>
    <w:pPr>
      <w:spacing w:before="0" w:after="120"/>
      <w:ind w:left="566" w:right="0" w:hanging="0"/>
    </w:pPr>
    <w:rPr/>
  </w:style>
  <w:style w:type="paragraph" w:styleId="Uroven2">
    <w:name w:val="uroven_2"/>
    <w:basedOn w:val="Pokraovnseznamu2"/>
    <w:qFormat/>
    <w:pPr>
      <w:widowControl w:val="false"/>
      <w:numPr>
        <w:ilvl w:val="0"/>
        <w:numId w:val="2"/>
      </w:numPr>
      <w:spacing w:lineRule="atLeast" w:line="300" w:before="240" w:after="240"/>
      <w:ind w:left="901" w:right="0" w:hanging="544"/>
      <w:jc w:val="both"/>
    </w:pPr>
    <w:rPr>
      <w:rFonts w:ascii="Garamond" w:hAnsi="Garamond" w:cs="Garamond"/>
      <w:lang w:val="cs-CZ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Normlnweb">
    <w:name w:val="Normální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oldmb5">
    <w:name w:val="bold mb-5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cs-CZ" w:eastAsia="zh-CN" w:bidi="ar-SA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birida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Application>LibreOfficeDev/6.3.0.0.beta1$Windows_X86_64 LibreOffice_project/a187af327633f5f00363be5131bd21a13e0f1a7b</Application>
  <Pages>1</Pages>
  <Words>136</Words>
  <Characters>853</Characters>
  <CharactersWithSpaces>974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2014-09-10T15:30:00Z</dcterms:created>
  <dc:creator>S1</dc:creator>
  <dc:description/>
  <dc:language>cs-CZ</dc:language>
  <cp:lastModifiedBy/>
  <cp:lastPrinted>1995-11-21T17:41:00Z</cp:lastPrinted>
  <dcterms:modified xsi:type="dcterms:W3CDTF">2019-08-21T17:25:12Z</dcterms:modified>
  <cp:revision>8</cp:revision>
  <dc:subject/>
  <dc:title>Tyto všeobecné obchodní podmínky (dále jen „VOP“) obchodní společnosti AUTOSERVIS AKADEMIE, se sídlem v Turnově, Přepeřská 1809, PSČ 511 01, identifikační číslo: 648 24 179, zapsané v obchodním rejstříku vedeném u Krajského soudu v Hradci Králové, spisov</dc:title>
</cp:coreProperties>
</file>